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E4AA5" w14:textId="77777777" w:rsidR="003D5FB9" w:rsidRDefault="003D5FB9">
      <w:pPr>
        <w:rPr>
          <w:lang w:val="en-CA"/>
        </w:rPr>
      </w:pPr>
      <w:r>
        <w:rPr>
          <w:lang w:val="en-CA"/>
        </w:rPr>
        <w:t>Metadata Basic Handwashing Facilities</w:t>
      </w:r>
    </w:p>
    <w:p w14:paraId="25427808" w14:textId="77777777" w:rsidR="003D5FB9" w:rsidRDefault="003D5FB9">
      <w:pPr>
        <w:rPr>
          <w:lang w:val="en-CA"/>
        </w:rPr>
      </w:pPr>
    </w:p>
    <w:tbl>
      <w:tblPr>
        <w:tblW w:w="13307" w:type="dxa"/>
        <w:shd w:val="clear" w:color="auto" w:fill="FFFFFF"/>
        <w:tblCellMar>
          <w:top w:w="15" w:type="dxa"/>
          <w:left w:w="15" w:type="dxa"/>
          <w:bottom w:w="15" w:type="dxa"/>
          <w:right w:w="15" w:type="dxa"/>
        </w:tblCellMar>
        <w:tblLook w:val="04A0" w:firstRow="1" w:lastRow="0" w:firstColumn="1" w:lastColumn="0" w:noHBand="0" w:noVBand="1"/>
      </w:tblPr>
      <w:tblGrid>
        <w:gridCol w:w="1335"/>
        <w:gridCol w:w="246"/>
        <w:gridCol w:w="11480"/>
        <w:gridCol w:w="246"/>
      </w:tblGrid>
      <w:tr w:rsidR="003D5FB9" w:rsidRPr="003D5FB9" w14:paraId="7FC02EA6" w14:textId="77777777" w:rsidTr="003D5FB9">
        <w:tc>
          <w:tcPr>
            <w:tcW w:w="1335" w:type="dxa"/>
            <w:tcBorders>
              <w:top w:val="single" w:sz="6" w:space="0" w:color="DDDDDD"/>
            </w:tcBorders>
            <w:shd w:val="clear" w:color="auto" w:fill="F9F9F9"/>
            <w:tcMar>
              <w:top w:w="120" w:type="dxa"/>
              <w:left w:w="120" w:type="dxa"/>
              <w:bottom w:w="120" w:type="dxa"/>
              <w:right w:w="120" w:type="dxa"/>
            </w:tcMar>
            <w:hideMark/>
          </w:tcPr>
          <w:p w14:paraId="02038774"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Definition</w:t>
            </w:r>
          </w:p>
        </w:tc>
        <w:tc>
          <w:tcPr>
            <w:tcW w:w="0" w:type="auto"/>
            <w:tcBorders>
              <w:top w:val="single" w:sz="6" w:space="0" w:color="DDDDDD"/>
            </w:tcBorders>
            <w:shd w:val="clear" w:color="auto" w:fill="F9F9F9"/>
            <w:tcMar>
              <w:top w:w="120" w:type="dxa"/>
              <w:left w:w="120" w:type="dxa"/>
              <w:bottom w:w="120" w:type="dxa"/>
              <w:right w:w="120" w:type="dxa"/>
            </w:tcMar>
            <w:hideMark/>
          </w:tcPr>
          <w:p w14:paraId="5C7017A0"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53472E97" w14:textId="77777777" w:rsidR="003D5FB9" w:rsidRPr="003D5FB9" w:rsidRDefault="003D5FB9" w:rsidP="003D5FB9">
            <w:pPr>
              <w:spacing w:after="300"/>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The proportion of population using basic handwashing facilities is currently being measured by the proportion of population with handwashing facilities with soap and water at home, a handwashing facility referring to a device to contain, transport or regulate the flow of water to facilitate handwashing with soap and water available. This indicator is reported in percentage of the total population and percentage of the rural or urban populations.</w:t>
            </w:r>
          </w:p>
        </w:tc>
        <w:tc>
          <w:tcPr>
            <w:tcW w:w="0" w:type="auto"/>
            <w:tcBorders>
              <w:top w:val="single" w:sz="6" w:space="0" w:color="DDDDDD"/>
            </w:tcBorders>
            <w:shd w:val="clear" w:color="auto" w:fill="F9F9F9"/>
            <w:tcMar>
              <w:top w:w="120" w:type="dxa"/>
              <w:left w:w="120" w:type="dxa"/>
              <w:bottom w:w="120" w:type="dxa"/>
              <w:right w:w="120" w:type="dxa"/>
            </w:tcMar>
            <w:hideMark/>
          </w:tcPr>
          <w:p w14:paraId="6CD3430D" w14:textId="77777777" w:rsidR="003D5FB9" w:rsidRPr="003D5FB9" w:rsidRDefault="003D5FB9" w:rsidP="003D5FB9">
            <w:pPr>
              <w:spacing w:after="300"/>
              <w:jc w:val="both"/>
              <w:rPr>
                <w:rFonts w:ascii="Roboto" w:eastAsia="Times New Roman" w:hAnsi="Roboto" w:cs="Times New Roman"/>
                <w:color w:val="333333"/>
                <w:sz w:val="18"/>
                <w:szCs w:val="18"/>
                <w:lang w:bidi="km-KH"/>
              </w:rPr>
            </w:pPr>
          </w:p>
        </w:tc>
      </w:tr>
      <w:tr w:rsidR="003D5FB9" w:rsidRPr="003D5FB9" w14:paraId="5D46770A" w14:textId="77777777" w:rsidTr="00E216E0">
        <w:trPr>
          <w:trHeight w:val="913"/>
        </w:trPr>
        <w:tc>
          <w:tcPr>
            <w:tcW w:w="1335" w:type="dxa"/>
            <w:tcBorders>
              <w:top w:val="single" w:sz="6" w:space="0" w:color="DDDDDD"/>
            </w:tcBorders>
            <w:shd w:val="clear" w:color="auto" w:fill="FFFFFF"/>
            <w:tcMar>
              <w:top w:w="120" w:type="dxa"/>
              <w:left w:w="120" w:type="dxa"/>
              <w:bottom w:w="120" w:type="dxa"/>
              <w:right w:w="120" w:type="dxa"/>
            </w:tcMar>
            <w:hideMark/>
          </w:tcPr>
          <w:p w14:paraId="0ACA89EC"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Aggregation</w:t>
            </w:r>
          </w:p>
        </w:tc>
        <w:tc>
          <w:tcPr>
            <w:tcW w:w="0" w:type="auto"/>
            <w:tcBorders>
              <w:top w:val="single" w:sz="6" w:space="0" w:color="DDDDDD"/>
            </w:tcBorders>
            <w:shd w:val="clear" w:color="auto" w:fill="FFFFFF"/>
            <w:tcMar>
              <w:top w:w="120" w:type="dxa"/>
              <w:left w:w="120" w:type="dxa"/>
              <w:bottom w:w="120" w:type="dxa"/>
              <w:right w:w="120" w:type="dxa"/>
            </w:tcMar>
            <w:hideMark/>
          </w:tcPr>
          <w:p w14:paraId="1719E0B4"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56CE152F" w14:textId="77777777" w:rsidR="003D5FB9" w:rsidRPr="003D5FB9" w:rsidRDefault="003D5FB9" w:rsidP="003D5FB9">
            <w:pPr>
              <w:spacing w:after="300"/>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Weighted averages using rural (% of rural population), urban (% of urban population) and total population (% of population) as weights. Missing data are not imputed.</w:t>
            </w:r>
          </w:p>
        </w:tc>
        <w:tc>
          <w:tcPr>
            <w:tcW w:w="0" w:type="auto"/>
            <w:tcBorders>
              <w:top w:val="single" w:sz="6" w:space="0" w:color="DDDDDD"/>
            </w:tcBorders>
            <w:shd w:val="clear" w:color="auto" w:fill="FFFFFF"/>
            <w:tcMar>
              <w:top w:w="120" w:type="dxa"/>
              <w:left w:w="120" w:type="dxa"/>
              <w:bottom w:w="120" w:type="dxa"/>
              <w:right w:w="120" w:type="dxa"/>
            </w:tcMar>
            <w:hideMark/>
          </w:tcPr>
          <w:p w14:paraId="3B0F83F7" w14:textId="77777777" w:rsidR="003D5FB9" w:rsidRPr="003D5FB9" w:rsidRDefault="003D5FB9" w:rsidP="003D5FB9">
            <w:pPr>
              <w:spacing w:after="300"/>
              <w:jc w:val="both"/>
              <w:rPr>
                <w:rFonts w:ascii="Roboto" w:eastAsia="Times New Roman" w:hAnsi="Roboto" w:cs="Times New Roman"/>
                <w:color w:val="333333"/>
                <w:sz w:val="18"/>
                <w:szCs w:val="18"/>
                <w:lang w:bidi="km-KH"/>
              </w:rPr>
            </w:pPr>
          </w:p>
        </w:tc>
      </w:tr>
      <w:tr w:rsidR="003D5FB9" w:rsidRPr="003D5FB9" w14:paraId="74288BDC" w14:textId="77777777" w:rsidTr="003D5FB9">
        <w:tc>
          <w:tcPr>
            <w:tcW w:w="1335" w:type="dxa"/>
            <w:tcBorders>
              <w:top w:val="single" w:sz="6" w:space="0" w:color="DDDDDD"/>
            </w:tcBorders>
            <w:shd w:val="clear" w:color="auto" w:fill="F9F9F9"/>
            <w:tcMar>
              <w:top w:w="120" w:type="dxa"/>
              <w:left w:w="120" w:type="dxa"/>
              <w:bottom w:w="120" w:type="dxa"/>
              <w:right w:w="120" w:type="dxa"/>
            </w:tcMar>
            <w:hideMark/>
          </w:tcPr>
          <w:p w14:paraId="7351B271"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Data Source</w:t>
            </w:r>
          </w:p>
        </w:tc>
        <w:tc>
          <w:tcPr>
            <w:tcW w:w="0" w:type="auto"/>
            <w:tcBorders>
              <w:top w:val="single" w:sz="6" w:space="0" w:color="DDDDDD"/>
            </w:tcBorders>
            <w:shd w:val="clear" w:color="auto" w:fill="F9F9F9"/>
            <w:tcMar>
              <w:top w:w="120" w:type="dxa"/>
              <w:left w:w="120" w:type="dxa"/>
              <w:bottom w:w="120" w:type="dxa"/>
              <w:right w:w="120" w:type="dxa"/>
            </w:tcMar>
            <w:hideMark/>
          </w:tcPr>
          <w:p w14:paraId="203783E7"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0CCBE94C" w14:textId="77777777" w:rsidR="003D5FB9" w:rsidRPr="003D5FB9" w:rsidRDefault="003D5FB9" w:rsidP="003D5FB9">
            <w:pPr>
              <w:spacing w:after="300"/>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UNSD, SDG Global Database</w:t>
            </w:r>
          </w:p>
        </w:tc>
        <w:tc>
          <w:tcPr>
            <w:tcW w:w="0" w:type="auto"/>
            <w:tcBorders>
              <w:top w:val="single" w:sz="6" w:space="0" w:color="DDDDDD"/>
            </w:tcBorders>
            <w:shd w:val="clear" w:color="auto" w:fill="F9F9F9"/>
            <w:tcMar>
              <w:top w:w="120" w:type="dxa"/>
              <w:left w:w="120" w:type="dxa"/>
              <w:bottom w:w="120" w:type="dxa"/>
              <w:right w:w="120" w:type="dxa"/>
            </w:tcMar>
            <w:hideMark/>
          </w:tcPr>
          <w:p w14:paraId="05C1BAD1" w14:textId="77777777" w:rsidR="003D5FB9" w:rsidRPr="003D5FB9" w:rsidRDefault="003D5FB9" w:rsidP="003D5FB9">
            <w:pPr>
              <w:spacing w:after="300"/>
              <w:jc w:val="both"/>
              <w:rPr>
                <w:rFonts w:ascii="Roboto" w:eastAsia="Times New Roman" w:hAnsi="Roboto" w:cs="Times New Roman"/>
                <w:color w:val="333333"/>
                <w:sz w:val="18"/>
                <w:szCs w:val="18"/>
                <w:lang w:bidi="km-KH"/>
              </w:rPr>
            </w:pPr>
          </w:p>
        </w:tc>
      </w:tr>
      <w:tr w:rsidR="003D5FB9" w:rsidRPr="003D5FB9" w14:paraId="379D83D8" w14:textId="77777777" w:rsidTr="003D5FB9">
        <w:tc>
          <w:tcPr>
            <w:tcW w:w="1335" w:type="dxa"/>
            <w:tcBorders>
              <w:top w:val="single" w:sz="6" w:space="0" w:color="DDDDDD"/>
            </w:tcBorders>
            <w:shd w:val="clear" w:color="auto" w:fill="FFFFFF"/>
            <w:tcMar>
              <w:top w:w="120" w:type="dxa"/>
              <w:left w:w="120" w:type="dxa"/>
              <w:bottom w:w="120" w:type="dxa"/>
              <w:right w:w="120" w:type="dxa"/>
            </w:tcMar>
            <w:hideMark/>
          </w:tcPr>
          <w:p w14:paraId="528A7001"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Data Source Description</w:t>
            </w:r>
          </w:p>
        </w:tc>
        <w:tc>
          <w:tcPr>
            <w:tcW w:w="0" w:type="auto"/>
            <w:tcBorders>
              <w:top w:val="single" w:sz="6" w:space="0" w:color="DDDDDD"/>
            </w:tcBorders>
            <w:shd w:val="clear" w:color="auto" w:fill="FFFFFF"/>
            <w:tcMar>
              <w:top w:w="120" w:type="dxa"/>
              <w:left w:w="120" w:type="dxa"/>
              <w:bottom w:w="120" w:type="dxa"/>
              <w:right w:w="120" w:type="dxa"/>
            </w:tcMar>
            <w:hideMark/>
          </w:tcPr>
          <w:p w14:paraId="23F7C496"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733D6962" w14:textId="77777777" w:rsidR="003D5FB9" w:rsidRPr="003D5FB9" w:rsidRDefault="003D5FB9" w:rsidP="003D5FB9">
            <w:pPr>
              <w:spacing w:after="300"/>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United Nations Statistics Division, SDG indicators global database. Data are from World Health Organization (WHO) and United Nations Children's Fund (UNICEF)</w:t>
            </w:r>
          </w:p>
        </w:tc>
        <w:tc>
          <w:tcPr>
            <w:tcW w:w="0" w:type="auto"/>
            <w:tcBorders>
              <w:top w:val="single" w:sz="6" w:space="0" w:color="DDDDDD"/>
            </w:tcBorders>
            <w:shd w:val="clear" w:color="auto" w:fill="FFFFFF"/>
            <w:tcMar>
              <w:top w:w="120" w:type="dxa"/>
              <w:left w:w="120" w:type="dxa"/>
              <w:bottom w:w="120" w:type="dxa"/>
              <w:right w:w="120" w:type="dxa"/>
            </w:tcMar>
            <w:hideMark/>
          </w:tcPr>
          <w:p w14:paraId="1600CBF7" w14:textId="77777777" w:rsidR="003D5FB9" w:rsidRPr="003D5FB9" w:rsidRDefault="003D5FB9" w:rsidP="003D5FB9">
            <w:pPr>
              <w:spacing w:after="300"/>
              <w:jc w:val="both"/>
              <w:rPr>
                <w:rFonts w:ascii="Roboto" w:eastAsia="Times New Roman" w:hAnsi="Roboto" w:cs="Times New Roman"/>
                <w:color w:val="333333"/>
                <w:sz w:val="18"/>
                <w:szCs w:val="18"/>
                <w:lang w:bidi="km-KH"/>
              </w:rPr>
            </w:pPr>
          </w:p>
        </w:tc>
      </w:tr>
      <w:tr w:rsidR="003D5FB9" w:rsidRPr="003D5FB9" w14:paraId="42AAE10B" w14:textId="77777777" w:rsidTr="003D5FB9">
        <w:tc>
          <w:tcPr>
            <w:tcW w:w="1335" w:type="dxa"/>
            <w:tcBorders>
              <w:top w:val="single" w:sz="6" w:space="0" w:color="DDDDDD"/>
            </w:tcBorders>
            <w:shd w:val="clear" w:color="auto" w:fill="F9F9F9"/>
            <w:tcMar>
              <w:top w:w="120" w:type="dxa"/>
              <w:left w:w="120" w:type="dxa"/>
              <w:bottom w:w="120" w:type="dxa"/>
              <w:right w:w="120" w:type="dxa"/>
            </w:tcMar>
            <w:hideMark/>
          </w:tcPr>
          <w:p w14:paraId="30D7C964"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Last Update Date</w:t>
            </w:r>
          </w:p>
        </w:tc>
        <w:tc>
          <w:tcPr>
            <w:tcW w:w="0" w:type="auto"/>
            <w:tcBorders>
              <w:top w:val="single" w:sz="6" w:space="0" w:color="DDDDDD"/>
            </w:tcBorders>
            <w:shd w:val="clear" w:color="auto" w:fill="F9F9F9"/>
            <w:tcMar>
              <w:top w:w="120" w:type="dxa"/>
              <w:left w:w="120" w:type="dxa"/>
              <w:bottom w:w="120" w:type="dxa"/>
              <w:right w:w="120" w:type="dxa"/>
            </w:tcMar>
            <w:hideMark/>
          </w:tcPr>
          <w:p w14:paraId="6155C596"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3289F78A" w14:textId="77777777" w:rsidR="003D5FB9" w:rsidRPr="003D5FB9" w:rsidRDefault="003D5FB9" w:rsidP="003D5FB9">
            <w:pPr>
              <w:spacing w:after="300"/>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7 August 2017</w:t>
            </w:r>
          </w:p>
        </w:tc>
        <w:tc>
          <w:tcPr>
            <w:tcW w:w="0" w:type="auto"/>
            <w:tcBorders>
              <w:top w:val="single" w:sz="6" w:space="0" w:color="DDDDDD"/>
            </w:tcBorders>
            <w:shd w:val="clear" w:color="auto" w:fill="F9F9F9"/>
            <w:tcMar>
              <w:top w:w="120" w:type="dxa"/>
              <w:left w:w="120" w:type="dxa"/>
              <w:bottom w:w="120" w:type="dxa"/>
              <w:right w:w="120" w:type="dxa"/>
            </w:tcMar>
            <w:hideMark/>
          </w:tcPr>
          <w:p w14:paraId="71EA401F" w14:textId="77777777" w:rsidR="003D5FB9" w:rsidRPr="003D5FB9" w:rsidRDefault="003D5FB9" w:rsidP="003D5FB9">
            <w:pPr>
              <w:spacing w:after="300"/>
              <w:jc w:val="both"/>
              <w:rPr>
                <w:rFonts w:ascii="Roboto" w:eastAsia="Times New Roman" w:hAnsi="Roboto" w:cs="Times New Roman"/>
                <w:color w:val="333333"/>
                <w:sz w:val="18"/>
                <w:szCs w:val="18"/>
                <w:lang w:bidi="km-KH"/>
              </w:rPr>
            </w:pPr>
          </w:p>
        </w:tc>
      </w:tr>
      <w:tr w:rsidR="003D5FB9" w:rsidRPr="003D5FB9" w14:paraId="2E729A70" w14:textId="77777777" w:rsidTr="003D5FB9">
        <w:tc>
          <w:tcPr>
            <w:tcW w:w="1335" w:type="dxa"/>
            <w:tcBorders>
              <w:top w:val="single" w:sz="6" w:space="0" w:color="DDDDDD"/>
            </w:tcBorders>
            <w:shd w:val="clear" w:color="auto" w:fill="FFFFFF"/>
            <w:tcMar>
              <w:top w:w="120" w:type="dxa"/>
              <w:left w:w="120" w:type="dxa"/>
              <w:bottom w:w="120" w:type="dxa"/>
              <w:right w:w="120" w:type="dxa"/>
            </w:tcMar>
            <w:hideMark/>
          </w:tcPr>
          <w:p w14:paraId="30883F89" w14:textId="77777777" w:rsidR="003D5FB9" w:rsidRPr="003D5FB9" w:rsidRDefault="003D5FB9" w:rsidP="003D5FB9">
            <w:pPr>
              <w:spacing w:after="300"/>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Related Metadata Documents</w:t>
            </w:r>
          </w:p>
        </w:tc>
        <w:tc>
          <w:tcPr>
            <w:tcW w:w="0" w:type="auto"/>
            <w:tcBorders>
              <w:top w:val="single" w:sz="6" w:space="0" w:color="DDDDDD"/>
            </w:tcBorders>
            <w:shd w:val="clear" w:color="auto" w:fill="FFFFFF"/>
            <w:tcMar>
              <w:top w:w="120" w:type="dxa"/>
              <w:left w:w="120" w:type="dxa"/>
              <w:bottom w:w="120" w:type="dxa"/>
              <w:right w:w="120" w:type="dxa"/>
            </w:tcMar>
            <w:hideMark/>
          </w:tcPr>
          <w:p w14:paraId="75FA2AC1" w14:textId="77777777" w:rsidR="003D5FB9" w:rsidRPr="003D5FB9" w:rsidRDefault="003D5FB9" w:rsidP="003D5FB9">
            <w:pPr>
              <w:spacing w:after="300"/>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FFFFF"/>
            <w:tcMar>
              <w:top w:w="120" w:type="dxa"/>
              <w:left w:w="120" w:type="dxa"/>
              <w:bottom w:w="120" w:type="dxa"/>
              <w:right w:w="120" w:type="dxa"/>
            </w:tcMar>
            <w:hideMark/>
          </w:tcPr>
          <w:p w14:paraId="194732F7"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4" w:tgtFrame="_blank" w:history="1">
              <w:r w:rsidRPr="003D5FB9">
                <w:rPr>
                  <w:rFonts w:ascii="Roboto" w:eastAsia="Times New Roman" w:hAnsi="Roboto" w:cs="Times New Roman"/>
                  <w:color w:val="333333"/>
                  <w:sz w:val="18"/>
                  <w:szCs w:val="18"/>
                  <w:lang w:bidi="km-KH"/>
                </w:rPr>
                <w:t>SDG Global database</w:t>
              </w:r>
            </w:hyperlink>
          </w:p>
          <w:p w14:paraId="5B7AE327"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5" w:tgtFrame="_blank" w:history="1">
              <w:r w:rsidRPr="003D5FB9">
                <w:rPr>
                  <w:rFonts w:ascii="Roboto" w:eastAsia="Times New Roman" w:hAnsi="Roboto" w:cs="Times New Roman"/>
                  <w:color w:val="333333"/>
                  <w:sz w:val="18"/>
                  <w:szCs w:val="18"/>
                  <w:lang w:bidi="km-KH"/>
                </w:rPr>
                <w:t>UNICEF - Progress on sanitation and drinking water</w:t>
              </w:r>
            </w:hyperlink>
          </w:p>
          <w:p w14:paraId="14693C91"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6" w:tgtFrame="_blank" w:history="1">
              <w:r w:rsidRPr="003D5FB9">
                <w:rPr>
                  <w:rFonts w:ascii="Roboto" w:eastAsia="Times New Roman" w:hAnsi="Roboto" w:cs="Times New Roman"/>
                  <w:color w:val="333333"/>
                  <w:sz w:val="18"/>
                  <w:szCs w:val="18"/>
                  <w:lang w:bidi="km-KH"/>
                </w:rPr>
                <w:t>JMP website</w:t>
              </w:r>
            </w:hyperlink>
          </w:p>
          <w:p w14:paraId="244541A5"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7" w:tgtFrame="_blank" w:history="1">
              <w:r w:rsidRPr="003D5FB9">
                <w:rPr>
                  <w:rFonts w:ascii="Roboto" w:eastAsia="Times New Roman" w:hAnsi="Roboto" w:cs="Times New Roman"/>
                  <w:color w:val="333333"/>
                  <w:sz w:val="18"/>
                  <w:szCs w:val="18"/>
                  <w:lang w:bidi="km-KH"/>
                </w:rPr>
                <w:t>JMP - Methodology</w:t>
              </w:r>
            </w:hyperlink>
            <w:bookmarkStart w:id="0" w:name="_GoBack"/>
            <w:bookmarkEnd w:id="0"/>
          </w:p>
          <w:p w14:paraId="0FF42EE9"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8" w:tgtFrame="_blank" w:history="1">
              <w:r w:rsidRPr="003D5FB9">
                <w:rPr>
                  <w:rFonts w:ascii="Roboto" w:eastAsia="Times New Roman" w:hAnsi="Roboto" w:cs="Times New Roman"/>
                  <w:color w:val="333333"/>
                  <w:sz w:val="18"/>
                  <w:szCs w:val="18"/>
                  <w:lang w:bidi="km-KH"/>
                </w:rPr>
                <w:t>JMP - Task Force on Methods Final Report</w:t>
              </w:r>
            </w:hyperlink>
          </w:p>
          <w:p w14:paraId="25B85D90"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Symbol" w:cs="Times New Roman"/>
                <w:color w:val="333333"/>
                <w:sz w:val="18"/>
                <w:szCs w:val="18"/>
                <w:lang w:bidi="km-KH"/>
              </w:rPr>
              <w:t></w:t>
            </w:r>
            <w:r w:rsidRPr="003D5FB9">
              <w:rPr>
                <w:rFonts w:ascii="Roboto" w:eastAsia="Times New Roman" w:hAnsi="Roboto" w:cs="Times New Roman"/>
                <w:color w:val="333333"/>
                <w:sz w:val="18"/>
                <w:szCs w:val="18"/>
                <w:lang w:bidi="km-KH"/>
              </w:rPr>
              <w:t xml:space="preserve">  </w:t>
            </w:r>
            <w:hyperlink r:id="rId9" w:tgtFrame="_blank" w:history="1">
              <w:r w:rsidRPr="003D5FB9">
                <w:rPr>
                  <w:rFonts w:ascii="Roboto" w:eastAsia="Times New Roman" w:hAnsi="Roboto" w:cs="Times New Roman"/>
                  <w:color w:val="333333"/>
                  <w:sz w:val="18"/>
                  <w:szCs w:val="18"/>
                  <w:lang w:bidi="km-KH"/>
                </w:rPr>
                <w:t xml:space="preserve">WSP - Practical Guidance for Measuring Handwashing </w:t>
              </w:r>
              <w:proofErr w:type="spellStart"/>
              <w:r w:rsidRPr="003D5FB9">
                <w:rPr>
                  <w:rFonts w:ascii="Roboto" w:eastAsia="Times New Roman" w:hAnsi="Roboto" w:cs="Times New Roman"/>
                  <w:color w:val="333333"/>
                  <w:sz w:val="18"/>
                  <w:szCs w:val="18"/>
                  <w:lang w:bidi="km-KH"/>
                </w:rPr>
                <w:t>Behaviour</w:t>
              </w:r>
              <w:proofErr w:type="spellEnd"/>
            </w:hyperlink>
          </w:p>
        </w:tc>
        <w:tc>
          <w:tcPr>
            <w:tcW w:w="0" w:type="auto"/>
            <w:tcBorders>
              <w:top w:val="single" w:sz="6" w:space="0" w:color="DDDDDD"/>
            </w:tcBorders>
            <w:shd w:val="clear" w:color="auto" w:fill="FFFFFF"/>
            <w:tcMar>
              <w:top w:w="120" w:type="dxa"/>
              <w:left w:w="120" w:type="dxa"/>
              <w:bottom w:w="120" w:type="dxa"/>
              <w:right w:w="120" w:type="dxa"/>
            </w:tcMar>
            <w:hideMark/>
          </w:tcPr>
          <w:p w14:paraId="2CEA2AA4" w14:textId="77777777" w:rsidR="003D5FB9" w:rsidRPr="003D5FB9" w:rsidRDefault="003D5FB9" w:rsidP="003D5FB9">
            <w:pPr>
              <w:jc w:val="both"/>
              <w:rPr>
                <w:rFonts w:ascii="Roboto" w:eastAsia="Times New Roman" w:hAnsi="Roboto" w:cs="Times New Roman"/>
                <w:color w:val="333333"/>
                <w:sz w:val="18"/>
                <w:szCs w:val="18"/>
                <w:lang w:bidi="km-KH"/>
              </w:rPr>
            </w:pPr>
          </w:p>
        </w:tc>
      </w:tr>
      <w:tr w:rsidR="003D5FB9" w:rsidRPr="003D5FB9" w14:paraId="3A822B27" w14:textId="77777777" w:rsidTr="003D5FB9">
        <w:tc>
          <w:tcPr>
            <w:tcW w:w="1335" w:type="dxa"/>
            <w:tcBorders>
              <w:top w:val="single" w:sz="6" w:space="0" w:color="DDDDDD"/>
            </w:tcBorders>
            <w:shd w:val="clear" w:color="auto" w:fill="F9F9F9"/>
            <w:tcMar>
              <w:top w:w="120" w:type="dxa"/>
              <w:left w:w="120" w:type="dxa"/>
              <w:bottom w:w="120" w:type="dxa"/>
              <w:right w:w="120" w:type="dxa"/>
            </w:tcMar>
            <w:hideMark/>
          </w:tcPr>
          <w:p w14:paraId="7D9B91C0" w14:textId="77777777" w:rsidR="003D5FB9" w:rsidRPr="003D5FB9" w:rsidRDefault="003D5FB9" w:rsidP="003D5FB9">
            <w:pPr>
              <w:rPr>
                <w:rFonts w:ascii="Roboto" w:eastAsia="Times New Roman" w:hAnsi="Roboto" w:cs="Times New Roman"/>
                <w:b/>
                <w:bCs/>
                <w:color w:val="333333"/>
                <w:sz w:val="18"/>
                <w:szCs w:val="18"/>
                <w:lang w:bidi="km-KH"/>
              </w:rPr>
            </w:pPr>
            <w:r w:rsidRPr="003D5FB9">
              <w:rPr>
                <w:rFonts w:ascii="Roboto" w:eastAsia="Times New Roman" w:hAnsi="Roboto" w:cs="Times New Roman"/>
                <w:b/>
                <w:bCs/>
                <w:color w:val="333333"/>
                <w:sz w:val="18"/>
                <w:szCs w:val="18"/>
                <w:lang w:bidi="km-KH"/>
              </w:rPr>
              <w:t>Related SDG Indicator</w:t>
            </w:r>
          </w:p>
        </w:tc>
        <w:tc>
          <w:tcPr>
            <w:tcW w:w="0" w:type="auto"/>
            <w:tcBorders>
              <w:top w:val="single" w:sz="6" w:space="0" w:color="DDDDDD"/>
            </w:tcBorders>
            <w:shd w:val="clear" w:color="auto" w:fill="F9F9F9"/>
            <w:tcMar>
              <w:top w:w="120" w:type="dxa"/>
              <w:left w:w="120" w:type="dxa"/>
              <w:bottom w:w="120" w:type="dxa"/>
              <w:right w:w="120" w:type="dxa"/>
            </w:tcMar>
            <w:hideMark/>
          </w:tcPr>
          <w:p w14:paraId="54337580" w14:textId="77777777" w:rsidR="003D5FB9" w:rsidRPr="003D5FB9" w:rsidRDefault="003D5FB9" w:rsidP="003D5FB9">
            <w:pPr>
              <w:rPr>
                <w:rFonts w:ascii="Roboto" w:eastAsia="Times New Roman" w:hAnsi="Roboto" w:cs="Times New Roman"/>
                <w:b/>
                <w:bCs/>
                <w:color w:val="333333"/>
                <w:sz w:val="18"/>
                <w:szCs w:val="18"/>
                <w:lang w:bidi="km-KH"/>
              </w:rPr>
            </w:pPr>
          </w:p>
        </w:tc>
        <w:tc>
          <w:tcPr>
            <w:tcW w:w="11480" w:type="dxa"/>
            <w:tcBorders>
              <w:top w:val="single" w:sz="6" w:space="0" w:color="DDDDDD"/>
            </w:tcBorders>
            <w:shd w:val="clear" w:color="auto" w:fill="F9F9F9"/>
            <w:tcMar>
              <w:top w:w="120" w:type="dxa"/>
              <w:left w:w="120" w:type="dxa"/>
              <w:bottom w:w="120" w:type="dxa"/>
              <w:right w:w="120" w:type="dxa"/>
            </w:tcMar>
            <w:hideMark/>
          </w:tcPr>
          <w:p w14:paraId="552F87FD" w14:textId="77777777" w:rsidR="003D5FB9" w:rsidRPr="003D5FB9" w:rsidRDefault="003D5FB9" w:rsidP="003D5FB9">
            <w:pPr>
              <w:jc w:val="both"/>
              <w:rPr>
                <w:rFonts w:ascii="Roboto" w:eastAsia="Times New Roman" w:hAnsi="Roboto" w:cs="Times New Roman"/>
                <w:color w:val="333333"/>
                <w:sz w:val="18"/>
                <w:szCs w:val="18"/>
                <w:lang w:bidi="km-KH"/>
              </w:rPr>
            </w:pPr>
            <w:r w:rsidRPr="003D5FB9">
              <w:rPr>
                <w:rFonts w:ascii="Roboto" w:eastAsia="Times New Roman" w:hAnsi="Roboto" w:cs="Times New Roman"/>
                <w:color w:val="333333"/>
                <w:sz w:val="18"/>
                <w:szCs w:val="18"/>
                <w:lang w:bidi="km-KH"/>
              </w:rPr>
              <w:t>6.2.1</w:t>
            </w:r>
          </w:p>
        </w:tc>
        <w:tc>
          <w:tcPr>
            <w:tcW w:w="0" w:type="auto"/>
            <w:shd w:val="clear" w:color="auto" w:fill="F9F9F9"/>
            <w:vAlign w:val="center"/>
            <w:hideMark/>
          </w:tcPr>
          <w:p w14:paraId="1B80E29C" w14:textId="77777777" w:rsidR="003D5FB9" w:rsidRPr="003D5FB9" w:rsidRDefault="003D5FB9" w:rsidP="003D5FB9">
            <w:pPr>
              <w:jc w:val="both"/>
              <w:rPr>
                <w:rFonts w:ascii="Times New Roman" w:eastAsia="Times New Roman" w:hAnsi="Times New Roman" w:cs="Times New Roman"/>
                <w:sz w:val="20"/>
                <w:szCs w:val="20"/>
                <w:lang w:bidi="km-KH"/>
              </w:rPr>
            </w:pPr>
          </w:p>
        </w:tc>
      </w:tr>
    </w:tbl>
    <w:p w14:paraId="2EBE3EA7" w14:textId="77777777" w:rsidR="003D5FB9" w:rsidRPr="003D5FB9" w:rsidRDefault="003D5FB9">
      <w:pPr>
        <w:rPr>
          <w:lang w:val="en-CA"/>
        </w:rPr>
      </w:pPr>
    </w:p>
    <w:sectPr w:rsidR="003D5FB9" w:rsidRPr="003D5FB9" w:rsidSect="003D5FB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B9"/>
    <w:rsid w:val="003D5FB9"/>
    <w:rsid w:val="00585336"/>
    <w:rsid w:val="00827B53"/>
    <w:rsid w:val="00886094"/>
    <w:rsid w:val="00CB1135"/>
    <w:rsid w:val="00E216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61A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76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68">
          <w:marLeft w:val="0"/>
          <w:marRight w:val="0"/>
          <w:marTop w:val="0"/>
          <w:marBottom w:val="0"/>
          <w:divBdr>
            <w:top w:val="none" w:sz="0" w:space="0" w:color="auto"/>
            <w:left w:val="none" w:sz="0" w:space="0" w:color="auto"/>
            <w:bottom w:val="none" w:sz="0" w:space="0" w:color="auto"/>
            <w:right w:val="none" w:sz="0" w:space="0" w:color="auto"/>
          </w:divBdr>
        </w:div>
        <w:div w:id="1053886307">
          <w:marLeft w:val="0"/>
          <w:marRight w:val="0"/>
          <w:marTop w:val="0"/>
          <w:marBottom w:val="0"/>
          <w:divBdr>
            <w:top w:val="none" w:sz="0" w:space="0" w:color="auto"/>
            <w:left w:val="none" w:sz="0" w:space="0" w:color="auto"/>
            <w:bottom w:val="none" w:sz="0" w:space="0" w:color="auto"/>
            <w:right w:val="none" w:sz="0" w:space="0" w:color="auto"/>
          </w:divBdr>
        </w:div>
        <w:div w:id="1882551213">
          <w:marLeft w:val="0"/>
          <w:marRight w:val="0"/>
          <w:marTop w:val="0"/>
          <w:marBottom w:val="0"/>
          <w:divBdr>
            <w:top w:val="none" w:sz="0" w:space="0" w:color="auto"/>
            <w:left w:val="none" w:sz="0" w:space="0" w:color="auto"/>
            <w:bottom w:val="none" w:sz="0" w:space="0" w:color="auto"/>
            <w:right w:val="none" w:sz="0" w:space="0" w:color="auto"/>
          </w:divBdr>
        </w:div>
        <w:div w:id="1681154573">
          <w:marLeft w:val="0"/>
          <w:marRight w:val="0"/>
          <w:marTop w:val="0"/>
          <w:marBottom w:val="0"/>
          <w:divBdr>
            <w:top w:val="none" w:sz="0" w:space="0" w:color="auto"/>
            <w:left w:val="none" w:sz="0" w:space="0" w:color="auto"/>
            <w:bottom w:val="none" w:sz="0" w:space="0" w:color="auto"/>
            <w:right w:val="none" w:sz="0" w:space="0" w:color="auto"/>
          </w:divBdr>
        </w:div>
        <w:div w:id="1137140812">
          <w:marLeft w:val="0"/>
          <w:marRight w:val="0"/>
          <w:marTop w:val="0"/>
          <w:marBottom w:val="0"/>
          <w:divBdr>
            <w:top w:val="none" w:sz="0" w:space="0" w:color="auto"/>
            <w:left w:val="none" w:sz="0" w:space="0" w:color="auto"/>
            <w:bottom w:val="none" w:sz="0" w:space="0" w:color="auto"/>
            <w:right w:val="none" w:sz="0" w:space="0" w:color="auto"/>
          </w:divBdr>
        </w:div>
        <w:div w:id="1950354800">
          <w:marLeft w:val="0"/>
          <w:marRight w:val="0"/>
          <w:marTop w:val="0"/>
          <w:marBottom w:val="0"/>
          <w:divBdr>
            <w:top w:val="none" w:sz="0" w:space="0" w:color="auto"/>
            <w:left w:val="none" w:sz="0" w:space="0" w:color="auto"/>
            <w:bottom w:val="none" w:sz="0" w:space="0" w:color="auto"/>
            <w:right w:val="none" w:sz="0" w:space="0" w:color="auto"/>
          </w:divBdr>
        </w:div>
        <w:div w:id="52775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nstats.un.org/sdgs/metadata/files/Metadata-06-02-01.pdf" TargetMode="External"/><Relationship Id="rId5" Type="http://schemas.openxmlformats.org/officeDocument/2006/relationships/hyperlink" Target="https://www.unicef.org/publications/index_82419.html" TargetMode="External"/><Relationship Id="rId6" Type="http://schemas.openxmlformats.org/officeDocument/2006/relationships/hyperlink" Target="http://www.wssinfo.org/" TargetMode="External"/><Relationship Id="rId7" Type="http://schemas.openxmlformats.org/officeDocument/2006/relationships/hyperlink" Target="http://www.wssinfo.org/fileadmin/user_upload/resources/Methodological-note-on-monitoring-SDG-targets-for-WASH-and-wastewater_WHO-UNICEF_8October2015_Final.pdf" TargetMode="External"/><Relationship Id="rId8" Type="http://schemas.openxmlformats.org/officeDocument/2006/relationships/hyperlink" Target="http://www.wssinfo.org/task-forces/" TargetMode="External"/><Relationship Id="rId9" Type="http://schemas.openxmlformats.org/officeDocument/2006/relationships/hyperlink" Target="http://www.wsp.org/sites/wsp.org/files/publications/WSP-Practical-Guidance-Measuring-Handwashing-Behavior-2013-Updat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Chung</dc:creator>
  <cp:keywords/>
  <dc:description/>
  <cp:lastModifiedBy>Mia Chung</cp:lastModifiedBy>
  <cp:revision>2</cp:revision>
  <dcterms:created xsi:type="dcterms:W3CDTF">2018-04-20T05:14:00Z</dcterms:created>
  <dcterms:modified xsi:type="dcterms:W3CDTF">2018-04-20T09:16:00Z</dcterms:modified>
</cp:coreProperties>
</file>